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FE" w:rsidRPr="00444946" w:rsidRDefault="00CF7595" w:rsidP="007104FE">
      <w:pPr>
        <w:pStyle w:val="Vchoz"/>
        <w:jc w:val="center"/>
        <w:rPr>
          <w:rFonts w:ascii="Calibri" w:hAnsi="Calibri"/>
          <w:b/>
          <w:sz w:val="30"/>
          <w:szCs w:val="30"/>
        </w:rPr>
      </w:pPr>
      <w:r w:rsidRPr="00444946">
        <w:rPr>
          <w:rFonts w:ascii="Calibri" w:hAnsi="Calibri"/>
          <w:b/>
          <w:sz w:val="30"/>
          <w:szCs w:val="30"/>
        </w:rPr>
        <w:t>Zvýšenou pozornost v předporodní a porodní péči</w:t>
      </w:r>
    </w:p>
    <w:p w:rsidR="00D52371" w:rsidRPr="00444946" w:rsidRDefault="00CF7595" w:rsidP="007104FE">
      <w:pPr>
        <w:pStyle w:val="Vchoz"/>
        <w:jc w:val="center"/>
        <w:rPr>
          <w:sz w:val="30"/>
          <w:szCs w:val="30"/>
        </w:rPr>
      </w:pPr>
      <w:r w:rsidRPr="00444946">
        <w:rPr>
          <w:rFonts w:ascii="Calibri" w:hAnsi="Calibri"/>
          <w:b/>
          <w:sz w:val="30"/>
          <w:szCs w:val="30"/>
        </w:rPr>
        <w:t>zaslouží ženy s nadměrným strachem z porodu a ženy s úzkostnými rysy</w:t>
      </w:r>
    </w:p>
    <w:p w:rsidR="00D52371" w:rsidRPr="007104FE" w:rsidRDefault="00CF7595" w:rsidP="00CF7595">
      <w:pPr>
        <w:pStyle w:val="Vchoz"/>
        <w:spacing w:line="360" w:lineRule="auto"/>
        <w:jc w:val="both"/>
        <w:rPr>
          <w:b/>
        </w:rPr>
      </w:pPr>
      <w:r w:rsidRPr="007104FE">
        <w:rPr>
          <w:rFonts w:ascii="Calibri" w:hAnsi="Calibri"/>
          <w:b/>
          <w:sz w:val="22"/>
          <w:szCs w:val="22"/>
        </w:rPr>
        <w:t xml:space="preserve">Výsledky studie „Souvislost psychosociálních faktorů s vybranými perinatálními výsledky a emočním vyladěním ženy v časném poporodním období“ </w:t>
      </w:r>
    </w:p>
    <w:p w:rsidR="00D52371" w:rsidRDefault="00D52371">
      <w:pPr>
        <w:pStyle w:val="Pedformtovantext"/>
        <w:jc w:val="both"/>
      </w:pP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>Pět krajských nemocnic na Vysočině 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zapojilo do výzkumu psychosociálních aspektů těhotenství a porodu</w:t>
      </w:r>
      <w:r>
        <w:rPr>
          <w:rFonts w:ascii="Calibri" w:hAnsi="Calibri"/>
          <w:i/>
          <w:i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který probíhá v </w:t>
      </w:r>
      <w:r w:rsidRPr="0069758E">
        <w:rPr>
          <w:rFonts w:ascii="Calibri" w:hAnsi="Calibri"/>
          <w:i/>
          <w:sz w:val="22"/>
          <w:szCs w:val="22"/>
        </w:rPr>
        <w:t xml:space="preserve">Centru aplikované psychologie při Katedře psychologie FF UK v Praze </w:t>
      </w:r>
      <w:r w:rsidRPr="00D41D72">
        <w:rPr>
          <w:rFonts w:ascii="Calibri" w:hAnsi="Calibri"/>
          <w:color w:val="000000"/>
          <w:sz w:val="22"/>
          <w:szCs w:val="22"/>
        </w:rPr>
        <w:t>s finanční a organizační podporou Kraje Vysočina.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roce 2015 byly v jeho rámci zveřejněny výsledky průzkumu psychosociálního klimatu v porodnicích, který prokázal vysokou spokojen</w:t>
      </w:r>
      <w:r w:rsidR="001F5C01">
        <w:rPr>
          <w:rFonts w:ascii="Calibri" w:hAnsi="Calibri"/>
          <w:sz w:val="22"/>
          <w:szCs w:val="22"/>
        </w:rPr>
        <w:t>ost žen s porodní i </w:t>
      </w:r>
      <w:r>
        <w:rPr>
          <w:rFonts w:ascii="Calibri" w:hAnsi="Calibri"/>
          <w:sz w:val="22"/>
          <w:szCs w:val="22"/>
        </w:rPr>
        <w:t xml:space="preserve">poporodní péčí na Vysočině. Letos výzkumný tým zveřejňuje výsledky studie </w:t>
      </w:r>
      <w:r>
        <w:rPr>
          <w:rFonts w:ascii="Calibri" w:hAnsi="Calibri"/>
          <w:b/>
          <w:sz w:val="22"/>
          <w:szCs w:val="22"/>
        </w:rPr>
        <w:t>o dopadu psychosociálních faktorů na průběh porodu a psychický stav žen v období krátce po porodu</w:t>
      </w:r>
      <w:r>
        <w:rPr>
          <w:rFonts w:ascii="Calibri" w:hAnsi="Calibri"/>
          <w:sz w:val="22"/>
          <w:szCs w:val="22"/>
        </w:rPr>
        <w:t>.</w:t>
      </w: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 xml:space="preserve">Studie se zúčastnilo více než 2000 žen, které porodily v období od října 2013 do září 2014 v některé z porodnic Kraje Vysočina. Sběr dat probíhal v posledním trimestru těhotenství a následně během poporodního pobytu žen v porodnici.  </w:t>
      </w:r>
    </w:p>
    <w:p w:rsidR="007104FE" w:rsidRDefault="007104FE">
      <w:pPr>
        <w:pStyle w:val="Vchoz"/>
        <w:spacing w:after="240" w:line="360" w:lineRule="auto"/>
        <w:rPr>
          <w:rFonts w:ascii="Calibri" w:hAnsi="Calibri"/>
          <w:b/>
          <w:sz w:val="22"/>
          <w:szCs w:val="22"/>
        </w:rPr>
      </w:pPr>
    </w:p>
    <w:p w:rsidR="00D52371" w:rsidRPr="0069758E" w:rsidRDefault="00CF7595">
      <w:pPr>
        <w:pStyle w:val="Vchoz"/>
        <w:spacing w:after="240" w:line="360" w:lineRule="auto"/>
        <w:rPr>
          <w:sz w:val="22"/>
          <w:szCs w:val="22"/>
        </w:rPr>
      </w:pPr>
      <w:r w:rsidRPr="0069758E">
        <w:rPr>
          <w:rFonts w:ascii="Calibri" w:hAnsi="Calibri"/>
          <w:b/>
          <w:sz w:val="22"/>
          <w:szCs w:val="22"/>
        </w:rPr>
        <w:t>Strach z porodu a nejistota ženy v roli matky souvisejí s vyšším rizikem akutního císařského řezu</w:t>
      </w:r>
    </w:p>
    <w:p w:rsidR="007104FE" w:rsidRDefault="00CF7595">
      <w:pPr>
        <w:pStyle w:val="Vchoz"/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Výsledky studie ukazují, že porodní komplikace, jako je například akutní c</w:t>
      </w:r>
      <w:r w:rsidR="001F5C01">
        <w:rPr>
          <w:rFonts w:ascii="Calibri" w:hAnsi="Calibri"/>
          <w:sz w:val="22"/>
          <w:szCs w:val="22"/>
        </w:rPr>
        <w:t>ísařský řez, mohou souviset i s </w:t>
      </w:r>
      <w:r>
        <w:rPr>
          <w:rFonts w:ascii="Calibri" w:hAnsi="Calibri"/>
          <w:sz w:val="22"/>
          <w:szCs w:val="22"/>
        </w:rPr>
        <w:t xml:space="preserve">psychologickými faktory. Podle autorek výzkumu, psycholožky Ley Takács a lékařky Jitky </w:t>
      </w:r>
      <w:proofErr w:type="spellStart"/>
      <w:r>
        <w:rPr>
          <w:rFonts w:ascii="Calibri" w:hAnsi="Calibri"/>
          <w:sz w:val="22"/>
          <w:szCs w:val="22"/>
        </w:rPr>
        <w:t>Mlíkové</w:t>
      </w:r>
      <w:proofErr w:type="spellEnd"/>
      <w:r>
        <w:rPr>
          <w:rFonts w:ascii="Calibri" w:hAnsi="Calibri"/>
          <w:sz w:val="22"/>
          <w:szCs w:val="22"/>
        </w:rPr>
        <w:t xml:space="preserve"> Seidlerové, bylo vyšší riziko akutního císařského řezu zjištěno u žen, které mají během těhotenství nadměrný strach z porodu, a rovněž u žen, které si nejsou jisté ve své mat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eřské roli; porod akutním </w:t>
      </w:r>
      <w:r>
        <w:rPr>
          <w:rFonts w:ascii="Calibri" w:hAnsi="Calibri"/>
          <w:sz w:val="22"/>
          <w:szCs w:val="22"/>
        </w:rPr>
        <w:lastRenderedPageBreak/>
        <w:t xml:space="preserve">císařským řezem se však neobjevoval častěji u žen úzkostných a u žen s nízkou sebedůvěrou obecně. </w:t>
      </w:r>
      <w:r w:rsidRPr="0069758E">
        <w:rPr>
          <w:rFonts w:ascii="Calibri" w:hAnsi="Calibri"/>
          <w:i/>
          <w:sz w:val="22"/>
          <w:szCs w:val="22"/>
        </w:rPr>
        <w:t>„Riziko akutního císařského řezu tedy souvisí s postojem ženy k porodu a k mateřství, a nikoli s jejími osobnostními charakteristikami ve smyslu obecnějších rysů. Nikoli celková úzkostnost, ale konkrétně strach z porodu, a nikoli celkově nízká sebedůvěra, ale nejistota ženy v souvislosti s tím, jak bude zvládat mateřskou roli, zvyšují riziko akutního císařského řezu</w:t>
      </w:r>
      <w:r>
        <w:rPr>
          <w:rFonts w:ascii="Calibri" w:hAnsi="Calibri"/>
          <w:sz w:val="22"/>
          <w:szCs w:val="22"/>
        </w:rPr>
        <w:t xml:space="preserve">,“ uvedla Lea Takács z Katedry psychologie FF UK.  </w:t>
      </w: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i/>
          <w:sz w:val="22"/>
          <w:szCs w:val="22"/>
        </w:rPr>
        <w:t>„V rámci těhotenské poradny či předporodních kurzů by tedy měli zdravotníci věnovat pozor</w:t>
      </w:r>
      <w:r w:rsidR="001F5C01">
        <w:rPr>
          <w:rFonts w:ascii="Calibri" w:hAnsi="Calibri"/>
          <w:i/>
          <w:sz w:val="22"/>
          <w:szCs w:val="22"/>
        </w:rPr>
        <w:t>nost i </w:t>
      </w:r>
      <w:r>
        <w:rPr>
          <w:rFonts w:ascii="Calibri" w:hAnsi="Calibri"/>
          <w:i/>
          <w:sz w:val="22"/>
          <w:szCs w:val="22"/>
        </w:rPr>
        <w:t xml:space="preserve">tomu, jaké postoje a očekávání má žena ve vztahu k nadcházejícímu porodu. Ženám s nadměrným strachem z porodu by měla být nabídnuta psychologická či psychoterapeutická pomoc už proto, že právě tyto ženy jsou častými žadatelkami o elektivní císařský řez, který s sebou nese nezanedbatelná zdravotní i psychosociální rizika,“ </w:t>
      </w:r>
      <w:r w:rsidRPr="0069758E">
        <w:rPr>
          <w:rFonts w:ascii="Calibri" w:hAnsi="Calibri"/>
          <w:sz w:val="22"/>
          <w:szCs w:val="22"/>
        </w:rPr>
        <w:t>dodává autorka výzkumu.</w:t>
      </w:r>
    </w:p>
    <w:p w:rsidR="007104FE" w:rsidRDefault="007104FE">
      <w:pPr>
        <w:pStyle w:val="Vchoz"/>
        <w:spacing w:after="240" w:line="360" w:lineRule="auto"/>
        <w:jc w:val="both"/>
        <w:rPr>
          <w:rFonts w:ascii="Calibri" w:hAnsi="Calibri"/>
          <w:b/>
          <w:sz w:val="22"/>
          <w:szCs w:val="22"/>
        </w:rPr>
      </w:pPr>
    </w:p>
    <w:p w:rsidR="00D52371" w:rsidRPr="007104FE" w:rsidRDefault="00CF7595">
      <w:pPr>
        <w:pStyle w:val="Vchoz"/>
        <w:spacing w:after="240" w:line="360" w:lineRule="auto"/>
        <w:jc w:val="both"/>
      </w:pPr>
      <w:r w:rsidRPr="007104FE">
        <w:rPr>
          <w:rFonts w:ascii="Calibri" w:hAnsi="Calibri"/>
          <w:b/>
          <w:sz w:val="22"/>
          <w:szCs w:val="22"/>
        </w:rPr>
        <w:t xml:space="preserve">Úzkostné ženy mají kratší porody, ale vyšší riziko poporodních blues </w:t>
      </w: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>Studie dále sledovala faktory ovlivňující délku trvání porodu. Extrémně dlouhý porod souvisel s větší váhou dítěte a nižším věkem matky, neprokázal se však vztah ani s osobnostními charakteristikami rodičky (úzkostnost, sebejistota), ani s psychosociálními faktory (stres a sociální opora v těhotenství, přítomnost blízkých a cizích osob u porodu). Naopak extrémně krátké porody byly častější u žen, které porodily menší dítě, a rovněž u žen úzkostných.</w:t>
      </w: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 xml:space="preserve">Předmětem výzkumu byly také </w:t>
      </w:r>
      <w:r>
        <w:rPr>
          <w:rFonts w:ascii="Calibri" w:hAnsi="Calibri"/>
          <w:b/>
          <w:sz w:val="22"/>
          <w:szCs w:val="22"/>
        </w:rPr>
        <w:t>poporodní poruchy nálady</w:t>
      </w:r>
      <w:r>
        <w:rPr>
          <w:rFonts w:ascii="Calibri" w:hAnsi="Calibri"/>
          <w:sz w:val="22"/>
          <w:szCs w:val="22"/>
        </w:rPr>
        <w:t xml:space="preserve">, které jsou v České republice stále zanedbávanou oblastí – jejich prevenci je věnována jen malá pozornost a ženám, které těmito </w:t>
      </w:r>
      <w:r>
        <w:rPr>
          <w:rFonts w:ascii="Calibri" w:hAnsi="Calibri"/>
          <w:sz w:val="22"/>
          <w:szCs w:val="22"/>
        </w:rPr>
        <w:lastRenderedPageBreak/>
        <w:t xml:space="preserve">poruchami trpí, se často nedostává odpovídající pomoci. Autoři studie sledovali faktory ovlivňující riziko poporodní </w:t>
      </w:r>
      <w:proofErr w:type="spellStart"/>
      <w:r>
        <w:rPr>
          <w:rFonts w:ascii="Calibri" w:hAnsi="Calibri"/>
          <w:sz w:val="22"/>
          <w:szCs w:val="22"/>
        </w:rPr>
        <w:t>subdeprese</w:t>
      </w:r>
      <w:proofErr w:type="spellEnd"/>
      <w:r>
        <w:rPr>
          <w:rFonts w:ascii="Calibri" w:hAnsi="Calibri"/>
          <w:sz w:val="22"/>
          <w:szCs w:val="22"/>
        </w:rPr>
        <w:t xml:space="preserve"> (tzv. baby blues), což je syndrom projevující se plačtivostí, emoční labilitou, přecitlivělostí, náladovostí, podrážděností, pocity bezmoci, napětí a úzkosti. Objevuje se hodiny až dny po porodu a zpravidla do 10 dnů spontánně vymizí bez závažnějších důsledků pro matku a dítě. Dosáhne-li však vyšší intenzity, představuje významný rizikový faktor „velké“ poporodní deprese, která je naopak velmi závažná. </w:t>
      </w:r>
    </w:p>
    <w:p w:rsidR="00D52371" w:rsidRDefault="00CF7595">
      <w:pPr>
        <w:pStyle w:val="Vchoz"/>
        <w:spacing w:after="240" w:line="360" w:lineRule="auto"/>
        <w:jc w:val="both"/>
      </w:pPr>
      <w:r w:rsidRPr="007104FE">
        <w:rPr>
          <w:rFonts w:ascii="Calibri" w:hAnsi="Calibri"/>
          <w:b/>
          <w:sz w:val="22"/>
          <w:szCs w:val="22"/>
        </w:rPr>
        <w:t xml:space="preserve">Vyšší riziko intenzivní poporodní </w:t>
      </w:r>
      <w:proofErr w:type="spellStart"/>
      <w:r w:rsidRPr="007104FE">
        <w:rPr>
          <w:rFonts w:ascii="Calibri" w:hAnsi="Calibri"/>
          <w:b/>
          <w:sz w:val="22"/>
          <w:szCs w:val="22"/>
        </w:rPr>
        <w:t>subdeprese</w:t>
      </w:r>
      <w:proofErr w:type="spellEnd"/>
      <w:r>
        <w:rPr>
          <w:rFonts w:ascii="Calibri" w:hAnsi="Calibri"/>
          <w:sz w:val="22"/>
          <w:szCs w:val="22"/>
        </w:rPr>
        <w:t xml:space="preserve"> bylo zjištěno u prvorodiček, dále u žen, které podstoupily císařský řez nebo vaginální extrakční operaci, u žen úzkostných a rovněž u žen, které měly během těhotenství vážné finanční potíže. Riziko rozvoje poporodní </w:t>
      </w:r>
      <w:proofErr w:type="spellStart"/>
      <w:r>
        <w:rPr>
          <w:rFonts w:ascii="Calibri" w:hAnsi="Calibri"/>
          <w:sz w:val="22"/>
          <w:szCs w:val="22"/>
        </w:rPr>
        <w:t>subdeprese</w:t>
      </w:r>
      <w:proofErr w:type="spellEnd"/>
      <w:r>
        <w:rPr>
          <w:rFonts w:ascii="Calibri" w:hAnsi="Calibri"/>
          <w:sz w:val="22"/>
          <w:szCs w:val="22"/>
        </w:rPr>
        <w:t xml:space="preserve"> nesnižovala přítomnost otce ani jiné blízké osoby u porodu. </w:t>
      </w: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 xml:space="preserve">Ukázalo se však, že u prvorodiček se riziko intenzivní poporodní </w:t>
      </w:r>
      <w:proofErr w:type="spellStart"/>
      <w:r>
        <w:rPr>
          <w:rFonts w:ascii="Calibri" w:hAnsi="Calibri"/>
          <w:sz w:val="22"/>
          <w:szCs w:val="22"/>
        </w:rPr>
        <w:t>subdeprese</w:t>
      </w:r>
      <w:proofErr w:type="spellEnd"/>
      <w:r>
        <w:rPr>
          <w:rFonts w:ascii="Calibri" w:hAnsi="Calibri"/>
          <w:sz w:val="22"/>
          <w:szCs w:val="22"/>
        </w:rPr>
        <w:t xml:space="preserve"> snižuje v případě, že má žena obecně vyšší sebedůvěru a rovněž důvěru, že dobře zvládne svou novou mateřskou roli; že její porod proběhl bez komplikací; a že během těhotenství neprožívala větší stres. Ve skupině úzkostných žen snižovala riziko intenzivní poporodní </w:t>
      </w:r>
      <w:proofErr w:type="spellStart"/>
      <w:r>
        <w:rPr>
          <w:rFonts w:ascii="Calibri" w:hAnsi="Calibri"/>
          <w:sz w:val="22"/>
          <w:szCs w:val="22"/>
        </w:rPr>
        <w:t>subdeprese</w:t>
      </w:r>
      <w:proofErr w:type="spellEnd"/>
      <w:r>
        <w:rPr>
          <w:rFonts w:ascii="Calibri" w:hAnsi="Calibri"/>
          <w:sz w:val="22"/>
          <w:szCs w:val="22"/>
        </w:rPr>
        <w:t xml:space="preserve"> kontinuální opora v průběhu porodu. </w:t>
      </w:r>
      <w:r>
        <w:rPr>
          <w:rFonts w:ascii="Calibri" w:hAnsi="Calibri"/>
          <w:i/>
          <w:sz w:val="22"/>
          <w:szCs w:val="22"/>
        </w:rPr>
        <w:t xml:space="preserve">„U úzkostných žen lze riziko intenzivní poporodní </w:t>
      </w:r>
      <w:proofErr w:type="spellStart"/>
      <w:r>
        <w:rPr>
          <w:rFonts w:ascii="Calibri" w:hAnsi="Calibri"/>
          <w:i/>
          <w:sz w:val="22"/>
          <w:szCs w:val="22"/>
        </w:rPr>
        <w:t>subdeprese</w:t>
      </w:r>
      <w:proofErr w:type="spellEnd"/>
      <w:r>
        <w:rPr>
          <w:rFonts w:ascii="Calibri" w:hAnsi="Calibri"/>
          <w:i/>
          <w:sz w:val="22"/>
          <w:szCs w:val="22"/>
        </w:rPr>
        <w:t xml:space="preserve"> snížit prostřednictvím organizačních opatření v rámci perinatální péče: úzkostné rodičky (a to zejména prvorodičky) by měly mít možnost individuální podpory od osoby, které důvěřují, a to po celou dobu porodu</w:t>
      </w:r>
      <w:r>
        <w:rPr>
          <w:rFonts w:ascii="Calibri" w:hAnsi="Calibri"/>
          <w:sz w:val="22"/>
          <w:szCs w:val="22"/>
        </w:rPr>
        <w:t xml:space="preserve">,“ poznamenávají autoři výzkumu. </w:t>
      </w:r>
    </w:p>
    <w:p w:rsidR="007104FE" w:rsidRDefault="007104FE">
      <w:pPr>
        <w:pStyle w:val="Vchoz"/>
        <w:spacing w:after="240" w:line="360" w:lineRule="auto"/>
        <w:jc w:val="both"/>
        <w:rPr>
          <w:rFonts w:ascii="Calibri" w:hAnsi="Calibri"/>
          <w:b/>
          <w:sz w:val="22"/>
          <w:szCs w:val="22"/>
        </w:rPr>
      </w:pPr>
    </w:p>
    <w:p w:rsidR="00E82D5B" w:rsidRDefault="00E82D5B">
      <w:pPr>
        <w:pStyle w:val="Vchoz"/>
        <w:spacing w:after="240" w:line="360" w:lineRule="auto"/>
        <w:jc w:val="both"/>
        <w:rPr>
          <w:rFonts w:ascii="Calibri" w:hAnsi="Calibri"/>
          <w:b/>
          <w:sz w:val="22"/>
          <w:szCs w:val="22"/>
        </w:rPr>
      </w:pPr>
    </w:p>
    <w:p w:rsidR="00D52371" w:rsidRDefault="00CF7595">
      <w:pPr>
        <w:pStyle w:val="Vchoz"/>
        <w:spacing w:after="240" w:line="360" w:lineRule="auto"/>
        <w:jc w:val="both"/>
      </w:pPr>
      <w:r>
        <w:rPr>
          <w:rFonts w:ascii="Calibri" w:hAnsi="Calibri"/>
          <w:b/>
          <w:sz w:val="22"/>
          <w:szCs w:val="22"/>
        </w:rPr>
        <w:lastRenderedPageBreak/>
        <w:t>Hlavní praktická doporučení vyplývající ze studie jsou tedy následující</w:t>
      </w:r>
      <w:r>
        <w:rPr>
          <w:rFonts w:ascii="Calibri" w:hAnsi="Calibri"/>
          <w:sz w:val="22"/>
          <w:szCs w:val="22"/>
        </w:rPr>
        <w:t xml:space="preserve">: </w:t>
      </w:r>
    </w:p>
    <w:p w:rsidR="00D52371" w:rsidRDefault="00CF7595">
      <w:pPr>
        <w:pStyle w:val="Odstavecseseznamem"/>
        <w:numPr>
          <w:ilvl w:val="0"/>
          <w:numId w:val="2"/>
        </w:numPr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 xml:space="preserve">Ženám s nadměrným strachem z porodu je třeba v rámci těhotenské poradny a předporodních kurzů věnovat zvýšenou pozornost, neboť tyto ženy mají vyšší riziko akutního císařského řezu. </w:t>
      </w:r>
    </w:p>
    <w:p w:rsidR="00D52371" w:rsidRDefault="00CF7595">
      <w:pPr>
        <w:pStyle w:val="Odstavecseseznamem"/>
        <w:numPr>
          <w:ilvl w:val="0"/>
          <w:numId w:val="2"/>
        </w:numPr>
        <w:spacing w:after="240" w:line="360" w:lineRule="auto"/>
        <w:jc w:val="both"/>
      </w:pPr>
      <w:r>
        <w:rPr>
          <w:rFonts w:ascii="Calibri" w:hAnsi="Calibri"/>
        </w:rPr>
        <w:t xml:space="preserve">Úzkostné ženy by měly mít během porodu možnost kontinuální individuální péče, která u nich snižuje riziko intenzivní poporodní </w:t>
      </w:r>
      <w:proofErr w:type="spellStart"/>
      <w:r>
        <w:rPr>
          <w:rFonts w:ascii="Calibri" w:hAnsi="Calibri"/>
        </w:rPr>
        <w:t>subdeprese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52371" w:rsidRDefault="00CF7595">
      <w:pPr>
        <w:pStyle w:val="Odstavecseseznamem"/>
        <w:numPr>
          <w:ilvl w:val="0"/>
          <w:numId w:val="2"/>
        </w:numPr>
        <w:spacing w:after="240" w:line="360" w:lineRule="auto"/>
        <w:jc w:val="both"/>
      </w:pPr>
      <w:r>
        <w:rPr>
          <w:rFonts w:ascii="Calibri" w:hAnsi="Calibri"/>
          <w:sz w:val="22"/>
          <w:szCs w:val="22"/>
        </w:rPr>
        <w:t>Ženy, které po porodu jeví známky výraznější dysforie, by měly mít k dispozici psychologickou pomoc a zároveň je u nich třeba sledovat riziko nastupující „velké“ poporodní deprese.</w:t>
      </w:r>
    </w:p>
    <w:p w:rsidR="00D52371" w:rsidRDefault="00CF7595" w:rsidP="007104FE">
      <w:pPr>
        <w:pStyle w:val="Normlnweb"/>
        <w:tabs>
          <w:tab w:val="left" w:pos="6035"/>
        </w:tabs>
        <w:spacing w:after="240" w:line="360" w:lineRule="auto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color w:val="00000A"/>
          <w:sz w:val="22"/>
        </w:rPr>
        <w:t>Kontaktní osoba za FF UK</w:t>
      </w:r>
      <w:r>
        <w:rPr>
          <w:rFonts w:ascii="Calibri" w:hAnsi="Calibri"/>
          <w:color w:val="00000A"/>
          <w:sz w:val="22"/>
        </w:rPr>
        <w:t>:</w:t>
      </w:r>
    </w:p>
    <w:p w:rsidR="00D52371" w:rsidRDefault="00CF7595">
      <w:pPr>
        <w:pStyle w:val="Normlnweb"/>
        <w:spacing w:line="276" w:lineRule="auto"/>
        <w:jc w:val="right"/>
      </w:pPr>
      <w:r>
        <w:rPr>
          <w:rFonts w:ascii="Calibri" w:hAnsi="Calibri"/>
          <w:b/>
          <w:color w:val="00000A"/>
          <w:sz w:val="22"/>
          <w:szCs w:val="22"/>
        </w:rPr>
        <w:t>Lea Takács</w:t>
      </w:r>
    </w:p>
    <w:p w:rsidR="00D52371" w:rsidRDefault="00CF7595">
      <w:pPr>
        <w:pStyle w:val="Normlnweb"/>
        <w:spacing w:line="276" w:lineRule="auto"/>
        <w:jc w:val="right"/>
      </w:pPr>
      <w:r>
        <w:rPr>
          <w:rFonts w:ascii="Calibri" w:hAnsi="Calibri"/>
          <w:color w:val="00000A"/>
          <w:sz w:val="22"/>
          <w:szCs w:val="22"/>
        </w:rPr>
        <w:t>Katedra psychologie FF UK</w:t>
      </w:r>
    </w:p>
    <w:p w:rsidR="00D52371" w:rsidRDefault="00AC66FC">
      <w:pPr>
        <w:pStyle w:val="Normlnweb"/>
        <w:spacing w:line="276" w:lineRule="auto"/>
        <w:jc w:val="right"/>
      </w:pPr>
      <w:hyperlink r:id="rId8">
        <w:r w:rsidR="00CF7595">
          <w:rPr>
            <w:rStyle w:val="Internetovodkaz"/>
            <w:rFonts w:ascii="Calibri" w:hAnsi="Calibri"/>
            <w:color w:val="00000A"/>
            <w:sz w:val="22"/>
            <w:szCs w:val="22"/>
            <w:u w:val="none"/>
          </w:rPr>
          <w:t>lea.takacs@ff.cuni.cz</w:t>
        </w:r>
      </w:hyperlink>
    </w:p>
    <w:p w:rsidR="00D52371" w:rsidRDefault="00D52371">
      <w:pPr>
        <w:pStyle w:val="Normlnweb"/>
        <w:spacing w:line="276" w:lineRule="auto"/>
        <w:jc w:val="right"/>
      </w:pPr>
    </w:p>
    <w:p w:rsidR="00D52371" w:rsidRDefault="00D52371">
      <w:pPr>
        <w:pStyle w:val="Normlnweb"/>
        <w:spacing w:line="276" w:lineRule="auto"/>
        <w:jc w:val="right"/>
      </w:pPr>
    </w:p>
    <w:p w:rsidR="00D52371" w:rsidRDefault="00CF7595">
      <w:pPr>
        <w:pStyle w:val="Normlnweb"/>
        <w:spacing w:after="240" w:line="276" w:lineRule="auto"/>
        <w:jc w:val="right"/>
      </w:pPr>
      <w:r>
        <w:rPr>
          <w:rFonts w:ascii="Calibri" w:hAnsi="Calibri"/>
          <w:b/>
          <w:color w:val="00000A"/>
          <w:sz w:val="22"/>
        </w:rPr>
        <w:t>Kontaktní osoba pro média za Kraj Vysočina</w:t>
      </w:r>
      <w:r>
        <w:rPr>
          <w:rFonts w:ascii="Calibri" w:hAnsi="Calibri"/>
          <w:color w:val="00000A"/>
          <w:sz w:val="22"/>
        </w:rPr>
        <w:t>:</w:t>
      </w:r>
    </w:p>
    <w:p w:rsidR="00D52371" w:rsidRDefault="00CF7595">
      <w:pPr>
        <w:pStyle w:val="Prosttext"/>
        <w:jc w:val="right"/>
      </w:pPr>
      <w:r>
        <w:rPr>
          <w:b/>
        </w:rPr>
        <w:t>Jitka Svatošová</w:t>
      </w:r>
    </w:p>
    <w:p w:rsidR="00D52371" w:rsidRDefault="00CF7595">
      <w:pPr>
        <w:pStyle w:val="Prosttext"/>
        <w:jc w:val="right"/>
      </w:pPr>
      <w:r>
        <w:t>Krajský úřad Kraje Vysočina, Oddělení tiskové</w:t>
      </w:r>
    </w:p>
    <w:p w:rsidR="00D52371" w:rsidRDefault="00CF7595">
      <w:pPr>
        <w:pStyle w:val="Prosttext"/>
        <w:jc w:val="right"/>
      </w:pPr>
      <w:r>
        <w:t>svatosova.j@kr-vysocina.cz</w:t>
      </w:r>
    </w:p>
    <w:p w:rsidR="00D52371" w:rsidRDefault="00CF7595">
      <w:pPr>
        <w:pStyle w:val="Prosttext"/>
        <w:jc w:val="right"/>
      </w:pPr>
      <w:r>
        <w:t>+420 724 650 123</w:t>
      </w:r>
    </w:p>
    <w:p w:rsidR="00D52371" w:rsidRDefault="00CF7595" w:rsidP="007104FE">
      <w:pPr>
        <w:pStyle w:val="Normlnweb"/>
        <w:spacing w:after="240" w:line="276" w:lineRule="auto"/>
        <w:jc w:val="both"/>
      </w:pPr>
      <w:r>
        <w:rPr>
          <w:rFonts w:ascii="Calibri" w:hAnsi="Calibri"/>
          <w:color w:val="00000A"/>
          <w:sz w:val="22"/>
        </w:rPr>
        <w:t xml:space="preserve">V Praze dne </w:t>
      </w:r>
      <w:r w:rsidR="00E82D5B">
        <w:rPr>
          <w:rFonts w:ascii="Calibri" w:hAnsi="Calibri"/>
          <w:color w:val="00000A"/>
          <w:sz w:val="22"/>
        </w:rPr>
        <w:t>8. 3. 2016</w:t>
      </w:r>
    </w:p>
    <w:sectPr w:rsidR="00D52371" w:rsidSect="007104FE">
      <w:headerReference w:type="default" r:id="rId9"/>
      <w:footerReference w:type="default" r:id="rId10"/>
      <w:pgSz w:w="11906" w:h="16838"/>
      <w:pgMar w:top="1417" w:right="1274" w:bottom="1417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FC" w:rsidRDefault="00AC66FC">
      <w:pPr>
        <w:spacing w:after="0" w:line="240" w:lineRule="auto"/>
      </w:pPr>
      <w:r>
        <w:separator/>
      </w:r>
    </w:p>
  </w:endnote>
  <w:endnote w:type="continuationSeparator" w:id="0">
    <w:p w:rsidR="00AC66FC" w:rsidRDefault="00AC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Mono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95" w:rsidRDefault="00CF7595">
    <w:pPr>
      <w:pStyle w:val="Zpat"/>
    </w:pPr>
  </w:p>
  <w:p w:rsidR="00CF7595" w:rsidRDefault="00CF7595">
    <w:pPr>
      <w:pStyle w:val="Zpat"/>
    </w:pPr>
  </w:p>
  <w:p w:rsidR="00CF7595" w:rsidRDefault="00CF7595">
    <w:pPr>
      <w:pStyle w:val="Zpat"/>
    </w:pPr>
    <w:r>
      <w:rPr>
        <w:rFonts w:ascii="Calibri" w:hAnsi="Calibri" w:cs="Calibri"/>
        <w:color w:val="002D56"/>
        <w:sz w:val="18"/>
        <w:szCs w:val="18"/>
      </w:rPr>
      <w:t>Univerzita Karlova v Praze, Filozofická fakulta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>Kraj Vysočina</w:t>
    </w:r>
  </w:p>
  <w:p w:rsidR="00CF7595" w:rsidRDefault="00CF7595">
    <w:pPr>
      <w:pStyle w:val="Zpat"/>
    </w:pPr>
    <w:r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>Žižkova 57, 587 33 Jihlava</w:t>
    </w:r>
  </w:p>
  <w:p w:rsidR="00CF7595" w:rsidRDefault="001F5C01">
    <w:pPr>
      <w:pStyle w:val="Zpat"/>
    </w:pPr>
    <w:proofErr w:type="spellStart"/>
    <w:r w:rsidRPr="001F5C01">
      <w:rPr>
        <w:rFonts w:ascii="Calibri" w:hAnsi="Calibri" w:cs="Calibri"/>
        <w:color w:val="002D56"/>
        <w:sz w:val="18"/>
        <w:szCs w:val="18"/>
      </w:rPr>
      <w:t>www.ff.cuni.cz</w:t>
    </w:r>
    <w:proofErr w:type="spellEnd"/>
    <w:r w:rsidR="00CF7595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proofErr w:type="spellStart"/>
    <w:r w:rsidR="00CF7595">
      <w:rPr>
        <w:rFonts w:ascii="Calibri" w:hAnsi="Calibri" w:cs="Calibri"/>
        <w:color w:val="002D56"/>
        <w:sz w:val="18"/>
        <w:szCs w:val="18"/>
      </w:rPr>
      <w:t>www.kr-vysocina.cz</w:t>
    </w:r>
    <w:proofErr w:type="spellEnd"/>
  </w:p>
  <w:p w:rsidR="00CF7595" w:rsidRDefault="001F5C01">
    <w:pPr>
      <w:pStyle w:val="Zpat"/>
    </w:pPr>
    <w:proofErr w:type="spellStart"/>
    <w:r w:rsidRPr="001F5C01">
      <w:rPr>
        <w:rFonts w:ascii="Calibri" w:hAnsi="Calibri" w:cs="Calibri"/>
        <w:color w:val="002D56"/>
        <w:sz w:val="18"/>
        <w:szCs w:val="18"/>
      </w:rPr>
      <w:t>pr@ff.cuni.cz</w:t>
    </w:r>
    <w:proofErr w:type="spellEnd"/>
    <w:r w:rsidR="00CF7595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proofErr w:type="spellStart"/>
    <w:r w:rsidR="00CF7595">
      <w:rPr>
        <w:rFonts w:ascii="Calibri" w:hAnsi="Calibri" w:cs="Calibri"/>
        <w:color w:val="002D56"/>
        <w:sz w:val="18"/>
        <w:szCs w:val="18"/>
      </w:rPr>
      <w:t>posta@kr-vysocina.cz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FC" w:rsidRDefault="00AC66FC">
      <w:pPr>
        <w:spacing w:after="0" w:line="240" w:lineRule="auto"/>
      </w:pPr>
      <w:r>
        <w:separator/>
      </w:r>
    </w:p>
  </w:footnote>
  <w:footnote w:type="continuationSeparator" w:id="0">
    <w:p w:rsidR="00AC66FC" w:rsidRDefault="00AC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95" w:rsidRDefault="00CF7595" w:rsidP="00CF7595">
    <w:pPr>
      <w:pStyle w:val="Zhlav"/>
      <w:tabs>
        <w:tab w:val="clear" w:pos="708"/>
      </w:tabs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character">
            <wp:posOffset>4994275</wp:posOffset>
          </wp:positionH>
          <wp:positionV relativeFrom="line">
            <wp:posOffset>-297815</wp:posOffset>
          </wp:positionV>
          <wp:extent cx="1101725" cy="1245870"/>
          <wp:effectExtent l="0" t="0" r="0" b="0"/>
          <wp:wrapNone/>
          <wp:docPr id="1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-349250</wp:posOffset>
          </wp:positionV>
          <wp:extent cx="3228975" cy="1533525"/>
          <wp:effectExtent l="0" t="0" r="0" b="0"/>
          <wp:wrapSquare wrapText="bothSides"/>
          <wp:docPr id="1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7595" w:rsidRDefault="00CF7595">
    <w:pPr>
      <w:pStyle w:val="Zhlav"/>
    </w:pPr>
  </w:p>
  <w:p w:rsidR="00CF7595" w:rsidRDefault="00CF7595">
    <w:pPr>
      <w:pStyle w:val="Zhlav"/>
      <w:jc w:val="right"/>
    </w:pPr>
  </w:p>
  <w:p w:rsidR="00CF7595" w:rsidRDefault="00CF7595">
    <w:pPr>
      <w:pStyle w:val="Zhlav"/>
      <w:jc w:val="right"/>
    </w:pPr>
  </w:p>
  <w:p w:rsidR="00CF7595" w:rsidRDefault="00CF7595">
    <w:pPr>
      <w:pStyle w:val="Zhlav"/>
    </w:pPr>
  </w:p>
  <w:p w:rsidR="00CF7595" w:rsidRDefault="00CF7595">
    <w:pPr>
      <w:pStyle w:val="Zhlav"/>
    </w:pPr>
  </w:p>
  <w:p w:rsidR="00CF7595" w:rsidRDefault="00CF7595">
    <w:pPr>
      <w:pStyle w:val="Zhlav"/>
    </w:pPr>
    <w:r>
      <w:rPr>
        <w:rFonts w:ascii="Cambria" w:hAnsi="Cambria" w:cs="Calibri"/>
        <w:b/>
        <w:color w:val="D59F0F"/>
        <w:spacing w:val="20"/>
      </w:rPr>
      <w:t>Tisková zpráva</w:t>
    </w:r>
  </w:p>
  <w:p w:rsidR="00CF7595" w:rsidRDefault="00CF75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631E"/>
    <w:multiLevelType w:val="multilevel"/>
    <w:tmpl w:val="954E5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04FD1"/>
    <w:multiLevelType w:val="multilevel"/>
    <w:tmpl w:val="A704C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1"/>
    <w:rsid w:val="001F5C01"/>
    <w:rsid w:val="00361E52"/>
    <w:rsid w:val="003D7889"/>
    <w:rsid w:val="0042169A"/>
    <w:rsid w:val="00444946"/>
    <w:rsid w:val="0069758E"/>
    <w:rsid w:val="007104FE"/>
    <w:rsid w:val="00AC66FC"/>
    <w:rsid w:val="00CF7595"/>
    <w:rsid w:val="00D41D72"/>
    <w:rsid w:val="00D52371"/>
    <w:rsid w:val="00E82D5B"/>
    <w:rsid w:val="00F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581D-592F-4C21-AC90-DB137ADB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Vchoz"/>
    <w:next w:val="Tlotextu"/>
    <w:pPr>
      <w:numPr>
        <w:ilvl w:val="1"/>
        <w:numId w:val="1"/>
      </w:numPr>
      <w:spacing w:before="28" w:after="28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Vchoz"/>
    <w:next w:val="Tlotextu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Silnzdraznn">
    <w:name w:val="Silné zdůraznění"/>
    <w:rPr>
      <w:b/>
      <w:bCs/>
    </w:rPr>
  </w:style>
  <w:style w:type="character" w:customStyle="1" w:styleId="st">
    <w:name w:val="st"/>
  </w:style>
  <w:style w:type="character" w:styleId="Zdraznn">
    <w:name w:val="Emphasis"/>
    <w:rPr>
      <w:i/>
      <w:iCs/>
    </w:rPr>
  </w:style>
  <w:style w:type="character" w:customStyle="1" w:styleId="Nadpis4Char">
    <w:name w:val="Nadpis 4 Char"/>
    <w:basedOn w:val="Standardnpsmoodstavce"/>
    <w:rPr>
      <w:rFonts w:ascii="Calibri Light" w:hAnsi="Calibri Light"/>
      <w:b/>
      <w:bCs/>
      <w:i/>
      <w:iCs/>
      <w:color w:val="5B9BD5"/>
      <w:sz w:val="24"/>
      <w:szCs w:val="2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TextkomenteChar"/>
    <w:rPr>
      <w:b/>
      <w:bCs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alibri" w:hAnsi="Calibri" w:cs="Calibri"/>
      <w:sz w:val="22"/>
      <w:szCs w:val="21"/>
      <w:lang w:eastAsia="en-US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lotextu">
    <w:name w:val="Tělo textu"/>
    <w:basedOn w:val="Vchoz"/>
    <w:rPr>
      <w:rFonts w:ascii="Arial" w:hAnsi="Arial" w:cs="Arial"/>
      <w:sz w:val="20"/>
    </w:r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Vchoz"/>
    <w:pPr>
      <w:spacing w:before="28" w:after="28"/>
    </w:pPr>
    <w:rPr>
      <w:rFonts w:ascii="Verdana" w:eastAsia="Arial Unicode MS" w:hAnsi="Verdana" w:cs="Arial Unicode MS"/>
      <w:color w:val="0E215D"/>
    </w:rPr>
  </w:style>
  <w:style w:type="paragraph" w:styleId="Zkladntext2">
    <w:name w:val="Body Text 2"/>
    <w:basedOn w:val="Vchoz"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Vchoz"/>
    <w:pPr>
      <w:spacing w:line="360" w:lineRule="auto"/>
      <w:jc w:val="both"/>
    </w:pPr>
    <w:rPr>
      <w:rFonts w:ascii="Arial" w:hAnsi="Arial" w:cs="Arial"/>
      <w:sz w:val="20"/>
      <w:szCs w:val="18"/>
    </w:rPr>
  </w:style>
  <w:style w:type="paragraph" w:customStyle="1" w:styleId="xmsonormal">
    <w:name w:val="x_msonormal"/>
    <w:basedOn w:val="Vchoz"/>
    <w:pPr>
      <w:spacing w:before="28" w:after="28"/>
    </w:pPr>
  </w:style>
  <w:style w:type="paragraph" w:styleId="Textkomente">
    <w:name w:val="annotation text"/>
    <w:basedOn w:val="Vchoz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Vchoz"/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Vchoz"/>
    <w:pPr>
      <w:widowControl w:val="0"/>
      <w:spacing w:after="0"/>
    </w:pPr>
    <w:rPr>
      <w:rFonts w:ascii="Droid Sans Mono" w:eastAsia="WenQuanYi Micro Hei" w:hAnsi="Droid Sans Mono" w:cs="Lohit Hindi"/>
      <w:sz w:val="20"/>
      <w:szCs w:val="20"/>
      <w:lang w:eastAsia="zh-CN" w:bidi="hi-IN"/>
    </w:rPr>
  </w:style>
  <w:style w:type="paragraph" w:styleId="Prosttext">
    <w:name w:val="Plain Text"/>
    <w:basedOn w:val="Vchoz"/>
    <w:rPr>
      <w:rFonts w:ascii="Calibri" w:hAnsi="Calibri" w:cs="Calibri"/>
      <w:sz w:val="22"/>
      <w:szCs w:val="21"/>
      <w:lang w:eastAsia="en-US"/>
    </w:rPr>
  </w:style>
  <w:style w:type="paragraph" w:styleId="Odstavecseseznamem">
    <w:name w:val="List Paragraph"/>
    <w:basedOn w:val="Vchoz"/>
    <w:pPr>
      <w:ind w:left="720"/>
    </w:pPr>
  </w:style>
  <w:style w:type="paragraph" w:styleId="Revize">
    <w:name w:val="Revision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takacs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88A0-E5E6-403D-A4AD-6C154B7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1DD44018.dotm</Template>
  <TotalTime>4</TotalTime>
  <Pages>1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Microsoft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Bednářová, Hana</cp:lastModifiedBy>
  <cp:revision>8</cp:revision>
  <cp:lastPrinted>2010-06-10T11:31:00Z</cp:lastPrinted>
  <dcterms:created xsi:type="dcterms:W3CDTF">2016-03-08T09:38:00Z</dcterms:created>
  <dcterms:modified xsi:type="dcterms:W3CDTF">2016-03-09T10:22:00Z</dcterms:modified>
</cp:coreProperties>
</file>